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 xml:space="preserve">Mjera 3. </w:t>
      </w:r>
      <w:proofErr w:type="spellStart"/>
      <w:r w:rsidRPr="00537DE1">
        <w:rPr>
          <w:rFonts w:asciiTheme="minorHAnsi" w:hAnsiTheme="minorHAnsi" w:cstheme="minorHAnsi"/>
          <w:b/>
          <w:bCs/>
        </w:rPr>
        <w:t>podmjera</w:t>
      </w:r>
      <w:proofErr w:type="spellEnd"/>
      <w:r w:rsidRPr="00537DE1">
        <w:rPr>
          <w:rFonts w:asciiTheme="minorHAnsi" w:hAnsiTheme="minorHAnsi" w:cstheme="minorHAnsi"/>
          <w:b/>
          <w:bCs/>
        </w:rPr>
        <w:t>​</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3.1. tip operacije 3.1.1.  Potpora za sudjelovanje poljoprivrednika u sustavima kvalitete za poljoprivredne i prehrambene proizvode i u sustavu ekološke proizvodnje.​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Prijavitelji: mala i srednja poduzeća, zadruge, OPG-i</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Intenzitet potpore: 100%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15.000 EUR​</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troškovi: troškovi ulaska u sustav kvalitete, u sustav ekološke poljoprivredne proizvodnje, troškovi stručne kontrole i certifikacije.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w:t>
      </w:r>
      <w:r w:rsidRPr="00537DE1">
        <w:rPr>
          <w:rFonts w:asciiTheme="minorHAnsi" w:hAnsiTheme="minorHAnsi" w:cstheme="minorHAnsi"/>
          <w:b/>
          <w:bCs/>
        </w:rPr>
        <w:t>Također za mikro, mala i srednja poduzeća otvoreno je 6 javnih poziva Ministarstva gospodarstva, poduzetništva i obrta: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1. Komercijalizacija ​inovacija u poduzetništvu:​</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w:t>
      </w:r>
      <w:proofErr w:type="spellStart"/>
      <w:r w:rsidRPr="00537DE1">
        <w:rPr>
          <w:rFonts w:asciiTheme="minorHAnsi" w:hAnsiTheme="minorHAnsi" w:cstheme="minorHAnsi"/>
        </w:rPr>
        <w:t>ntenzitet</w:t>
      </w:r>
      <w:proofErr w:type="spellEnd"/>
      <w:r w:rsidRPr="00537DE1">
        <w:rPr>
          <w:rFonts w:asciiTheme="minorHAnsi" w:hAnsiTheme="minorHAnsi" w:cstheme="minorHAnsi"/>
        </w:rPr>
        <w:t xml:space="preserve"> potpore:​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50% prihvatljivih troškova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760.000 kuna - 7.600.000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potpore za inovacije procesa i organizacije poslovanja,  troškovi instrumenata i opreme, zgrada, zemljišta​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 xml:space="preserve">2. </w:t>
      </w:r>
      <w:proofErr w:type="spellStart"/>
      <w:r w:rsidRPr="00537DE1">
        <w:rPr>
          <w:rFonts w:asciiTheme="minorHAnsi" w:hAnsiTheme="minorHAnsi" w:cstheme="minorHAnsi"/>
          <w:b/>
          <w:bCs/>
        </w:rPr>
        <w:t>Internacion</w:t>
      </w:r>
      <w:proofErr w:type="spellEnd"/>
      <w:r w:rsidRPr="00537DE1">
        <w:rPr>
          <w:rFonts w:asciiTheme="minorHAnsi" w:hAnsiTheme="minorHAnsi" w:cstheme="minorHAnsi"/>
          <w:b/>
          <w:bCs/>
        </w:rPr>
        <w:t>​</w:t>
      </w:r>
      <w:proofErr w:type="spellStart"/>
      <w:r w:rsidRPr="00537DE1">
        <w:rPr>
          <w:rFonts w:asciiTheme="minorHAnsi" w:hAnsiTheme="minorHAnsi" w:cstheme="minorHAnsi"/>
          <w:b/>
          <w:bCs/>
        </w:rPr>
        <w:t>alizacija</w:t>
      </w:r>
      <w:proofErr w:type="spellEnd"/>
      <w:r w:rsidRPr="00537DE1">
        <w:rPr>
          <w:rFonts w:asciiTheme="minorHAnsi" w:hAnsiTheme="minorHAnsi" w:cstheme="minorHAnsi"/>
          <w:b/>
          <w:bCs/>
        </w:rPr>
        <w:t xml:space="preserve"> poslovanja MSP-ova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w:t>
      </w:r>
      <w:proofErr w:type="spellStart"/>
      <w:r w:rsidRPr="00537DE1">
        <w:rPr>
          <w:rFonts w:asciiTheme="minorHAnsi" w:hAnsiTheme="minorHAnsi" w:cstheme="minorHAnsi"/>
        </w:rPr>
        <w:t>ntenzitet</w:t>
      </w:r>
      <w:proofErr w:type="spellEnd"/>
      <w:r w:rsidRPr="00537DE1">
        <w:rPr>
          <w:rFonts w:asciiTheme="minorHAnsi" w:hAnsiTheme="minorHAnsi" w:cstheme="minorHAnsi"/>
        </w:rPr>
        <w:t xml:space="preserve"> potpore:​ 65% - ​85% prihvatljivih troškova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​100.000 kuna - 1.000.000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lastRenderedPageBreak/>
        <w:t>Prihvatljive aktivnosti: nastupi na međunarodnim sajmovima, prezentacije MSP-a u okviru međunarodnog sajma, sudjelovanje na b2b poslovnim razgovorima i susretima,​ troškovi istraživanja inozemnog tržišta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3. Certifikacijom proizvoda do tržišta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w:t>
      </w:r>
      <w:proofErr w:type="spellStart"/>
      <w:r w:rsidRPr="00537DE1">
        <w:rPr>
          <w:rFonts w:asciiTheme="minorHAnsi" w:hAnsiTheme="minorHAnsi" w:cstheme="minorHAnsi"/>
        </w:rPr>
        <w:t>ntenzitet</w:t>
      </w:r>
      <w:proofErr w:type="spellEnd"/>
      <w:r w:rsidRPr="00537DE1">
        <w:rPr>
          <w:rFonts w:asciiTheme="minorHAnsi" w:hAnsiTheme="minorHAnsi" w:cstheme="minorHAnsi"/>
        </w:rPr>
        <w:t xml:space="preserve"> potpore:​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65% - ​85% prihvatljivih troškova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​20.000 kuna - 1.000.000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certifikacija​ proizvoda, odnosno ocjenjivanje sukladnosti proizvoda s određenom normom ili specifikacijom</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4. Povećanje razvoja novih usluga koji proizlaze iz aktivnosti istraživanja i  razvoja,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w:t>
      </w:r>
      <w:proofErr w:type="spellStart"/>
      <w:r w:rsidRPr="00537DE1">
        <w:rPr>
          <w:rFonts w:asciiTheme="minorHAnsi" w:hAnsiTheme="minorHAnsi" w:cstheme="minorHAnsi"/>
        </w:rPr>
        <w:t>ntenzitet</w:t>
      </w:r>
      <w:proofErr w:type="spellEnd"/>
      <w:r w:rsidRPr="00537DE1">
        <w:rPr>
          <w:rFonts w:asciiTheme="minorHAnsi" w:hAnsiTheme="minorHAnsi" w:cstheme="minorHAnsi"/>
        </w:rPr>
        <w:t xml:space="preserve"> potpore:​ 45% - 100%​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190.000 - 56.000.000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aktivnosti istraživanja i razvoja, aktivnosti početnih ulaganja u materijalnu i nematerijalnu imovinu u cilju jačanja kapaciteta za istraživanje i razvoj</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w:t>
      </w:r>
      <w:r w:rsidRPr="00537DE1">
        <w:rPr>
          <w:rFonts w:asciiTheme="minorHAnsi" w:hAnsiTheme="minorHAnsi" w:cstheme="minorHAnsi"/>
          <w:b/>
          <w:bCs/>
        </w:rPr>
        <w:t>5. Očuvanje i razvoj tradicijskih obrta, intenziteta potpore 100% prihvatljivih troškova od 10.000 kuna - 50.000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​Intenzitet potpore: 100%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​10.000 - 50.000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ulaganje u unapređenje poslovanja, unapređenje proizvodnje, u razvoj novih proizvoda i usluga, prilagodbe, uređenje i poboljšanje poslovnog prostora, marketinške aktivnosti i </w:t>
      </w:r>
    </w:p>
    <w:p w:rsid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ulaganja za izlazak na nova tržišta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lastRenderedPageBreak/>
        <w:t>Za područje Zagrebačke županije: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6. Potpora za poticanje razvoja turizma u Gradu Zagrebu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mikro, mala i srednja poduzeća, obrti, zadruge, djelatnosti slobodnih  </w:t>
      </w:r>
      <w:proofErr w:type="spellStart"/>
      <w:r w:rsidRPr="00537DE1">
        <w:rPr>
          <w:rFonts w:asciiTheme="minorHAnsi" w:hAnsiTheme="minorHAnsi" w:cstheme="minorHAnsi"/>
        </w:rPr>
        <w:t>zanjimanja</w:t>
      </w:r>
      <w:proofErr w:type="spellEnd"/>
      <w:r w:rsidRPr="00537DE1">
        <w:rPr>
          <w:rFonts w:asciiTheme="minorHAnsi" w:hAnsiTheme="minorHAnsi" w:cstheme="minorHAnsi"/>
        </w:rPr>
        <w:t>, ugostitelji</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Intenzitet potpore: do 50%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50.000 -  200.000 kuna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Prihvatljive aktivnosti: unapređenje ukupne turističke ponude, razvoj postojećih turističkih  proizvoda, organizacija događanja, troškovi </w:t>
      </w:r>
      <w:proofErr w:type="spellStart"/>
      <w:r w:rsidRPr="00537DE1">
        <w:rPr>
          <w:rFonts w:asciiTheme="minorHAnsi" w:hAnsiTheme="minorHAnsi" w:cstheme="minorHAnsi"/>
        </w:rPr>
        <w:t>brendiranja</w:t>
      </w:r>
      <w:proofErr w:type="spellEnd"/>
      <w:r w:rsidRPr="00537DE1">
        <w:rPr>
          <w:rFonts w:asciiTheme="minorHAnsi" w:hAnsiTheme="minorHAnsi" w:cstheme="minorHAnsi"/>
        </w:rPr>
        <w:t>, poticanje razvoja turizma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Natječaj u najavi: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rPr>
        <w:t xml:space="preserve">1. </w:t>
      </w:r>
      <w:proofErr w:type="spellStart"/>
      <w:r w:rsidRPr="00537DE1">
        <w:rPr>
          <w:rFonts w:asciiTheme="minorHAnsi" w:hAnsiTheme="minorHAnsi" w:cstheme="minorHAnsi"/>
          <w:b/>
          <w:bCs/>
          <w:u w:val="single"/>
        </w:rPr>
        <w:t>Podmjera</w:t>
      </w:r>
      <w:proofErr w:type="spellEnd"/>
      <w:r w:rsidRPr="00537DE1">
        <w:rPr>
          <w:rFonts w:asciiTheme="minorHAnsi" w:hAnsiTheme="minorHAnsi" w:cstheme="minorHAnsi"/>
          <w:b/>
          <w:bCs/>
          <w:u w:val="single"/>
        </w:rPr>
        <w:t xml:space="preserve"> 6.1.1. - Potpora mladim poljoprivrednicima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mladi poljoprivrednici koji u trenutku podnošenja zahtjeva za potporu imaju navršenih 18 godina, a manje od navršenih 41 godinu i koji podnose poslovni plan za poljoprivredno gospodarstvo ekonomske veličine od 8.000 do 49.999 eura.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kupnja domaćih životinja, jednogodišnjeg i višegodišnjeg bilja, sjemena i sadnog materijala; kupnja, građenje i/ili opremanje zatvorenih/zaštićenih prostora i objekata te ostalih gospodarskih objekata uključujući vanjsku i unutarnju infrastrukturu u sklopu poljoprivrednog gospodarstva u svrhu obavljanja poljoprivredne proizvodnje i/ili prerade proizvoda iz Dodatka I Ugovora o EU osim proizvoda ribarstva; podizanje novih i/ili restrukturiranje postojećih višegodišnjih nasada;  uređenje i poboljšanje kvalitete poljoprivrednog zemljišta u svrhu poljoprivredne proizvodnje; građenje i/ili opremanje objekata za prodaju i prezentaciju vlastitih poljoprivrednih proizvoda uključujući i troškove promocije vlastitih poljoprivrednih proizvoda;  kupnju ili zakup poljoprivrednog zemljišta;  kupnju poljoprivredne mehanizacije, strojeva i opreme.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Stopa sufinanciranja i iznos potpore: najviše 50.000,00 eura po korisniku potpora iznosi 100%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Indikativni datum objave: 27.12.2017.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rPr>
        <w:lastRenderedPageBreak/>
        <w:t xml:space="preserve">2. </w:t>
      </w:r>
      <w:proofErr w:type="spellStart"/>
      <w:r w:rsidRPr="00537DE1">
        <w:rPr>
          <w:rFonts w:asciiTheme="minorHAnsi" w:hAnsiTheme="minorHAnsi" w:cstheme="minorHAnsi"/>
          <w:b/>
          <w:bCs/>
          <w:u w:val="single"/>
        </w:rPr>
        <w:t>Podmjera</w:t>
      </w:r>
      <w:proofErr w:type="spellEnd"/>
      <w:r w:rsidRPr="00537DE1">
        <w:rPr>
          <w:rFonts w:asciiTheme="minorHAnsi" w:hAnsiTheme="minorHAnsi" w:cstheme="minorHAnsi"/>
          <w:b/>
          <w:bCs/>
          <w:u w:val="single"/>
        </w:rPr>
        <w:t> 6.2.1. - Potpora ulaganju u pokretanje nepoljoprivrednih djelatnosti</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prijavitelji: poljoprivredna gospodarstva ,fizičke osobe u svojstvu nositelja ili člana obiteljskog poljoprivrednog gospodarstva koji pokreću novu nepoljoprivrednu djelatnost u ruralnim područjima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turizam u ruralnom području; tradicijski, umjetnički obrti, izrada suvenira, pružanje usluga u ruralnim područjima, poljoprivredi i šumarstvu</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i intenzitet potpore: Visina potpore iznosi 50.000 eura po korisniku, a isplata je u 2 rate u razdoblju od najviše 3 godine: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Indikativni datum objave: 14.08.2017.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bdr w:val="none" w:sz="0" w:space="0" w:color="auto" w:frame="1"/>
        </w:rPr>
        <w:t xml:space="preserve">3. </w:t>
      </w:r>
      <w:proofErr w:type="spellStart"/>
      <w:r w:rsidRPr="00537DE1">
        <w:rPr>
          <w:rFonts w:asciiTheme="minorHAnsi" w:hAnsiTheme="minorHAnsi" w:cstheme="minorHAnsi"/>
          <w:b/>
          <w:bCs/>
          <w:u w:val="single"/>
          <w:bdr w:val="none" w:sz="0" w:space="0" w:color="auto" w:frame="1"/>
        </w:rPr>
        <w:t>Podmjera</w:t>
      </w:r>
      <w:proofErr w:type="spellEnd"/>
      <w:r w:rsidRPr="00537DE1">
        <w:rPr>
          <w:rFonts w:asciiTheme="minorHAnsi" w:hAnsiTheme="minorHAnsi" w:cstheme="minorHAnsi"/>
          <w:b/>
          <w:bCs/>
          <w:u w:val="single"/>
          <w:bdr w:val="none" w:sz="0" w:space="0" w:color="auto" w:frame="1"/>
        </w:rPr>
        <w:t xml:space="preserve"> 6.3.  - Potpora razvoju malih poljoprivrednih gospodarstava</w:t>
      </w:r>
    </w:p>
    <w:p w:rsidR="00537DE1" w:rsidRPr="00537DE1" w:rsidRDefault="00537DE1" w:rsidP="00537DE1">
      <w:pPr>
        <w:spacing w:before="100" w:beforeAutospacing="1"/>
        <w:textAlignment w:val="baseline"/>
        <w:rPr>
          <w:rFonts w:asciiTheme="minorHAnsi" w:hAnsiTheme="minorHAnsi" w:cstheme="minorHAnsi"/>
        </w:rPr>
      </w:pPr>
      <w:r w:rsidRPr="00537DE1">
        <w:rPr>
          <w:rFonts w:asciiTheme="minorHAnsi" w:hAnsiTheme="minorHAnsi" w:cstheme="minorHAnsi"/>
          <w:bdr w:val="none" w:sz="0" w:space="0" w:color="auto" w:frame="1"/>
        </w:rPr>
        <w:t>Prihvatljivi prijavitelji: mala poljoprivredna gospodarstva</w:t>
      </w:r>
    </w:p>
    <w:p w:rsidR="00537DE1" w:rsidRPr="00537DE1" w:rsidRDefault="00537DE1" w:rsidP="00537DE1">
      <w:pPr>
        <w:spacing w:before="100" w:beforeAutospacing="1"/>
        <w:textAlignment w:val="baseline"/>
        <w:rPr>
          <w:rFonts w:asciiTheme="minorHAnsi" w:hAnsiTheme="minorHAnsi" w:cstheme="minorHAnsi"/>
        </w:rPr>
      </w:pPr>
      <w:r w:rsidRPr="00537DE1">
        <w:rPr>
          <w:rFonts w:asciiTheme="minorHAnsi" w:hAnsiTheme="minorHAnsi" w:cstheme="minorHAnsi"/>
          <w:bdr w:val="none" w:sz="0" w:space="0" w:color="auto" w:frame="1"/>
        </w:rPr>
        <w:t>Prihvatljive aktivnosti: </w:t>
      </w:r>
      <w:r w:rsidRPr="00537DE1">
        <w:rPr>
          <w:rFonts w:asciiTheme="minorHAnsi" w:hAnsiTheme="minorHAnsi" w:cstheme="minorHAnsi"/>
        </w:rPr>
        <w:t>kupnja domaćih životinja, višegodišnjeg bilja, sjemena i sadnog materijala kupnja, građenje i/ili opremanje zatvorenih/zaštićenih prostora i objekata te ostalih gospodarskih objekata uključujući vanjsku i unutarnju infrastrukturu u sklopu poljoprivrednog gospodarstva u svrhu obavljanja poljoprivredne proizvodnje i/ili prerade proizvoda kupnja ili zakup poljoprivrednog zemljišta kupnja poljoprivredne mehanizacije, strojeva i opreme podizanje novih i/ili restrukturiranje postojećih višegodišnjih nasada uređenje i poboljšanje kvalitete poljoprivrednog zemljišta u svrhu poljoprivredne proizvodnje,građenje i/ili opremanje objekata za prodaju i prezentaciju vlastitih poljoprivrednih proizvoda uključujući i troškove promidžbe vlastitih poljoprivrednih proizvoda, stjecanje potrebnih stručnih znanja i sposobnosti za obavljanje poljoprivredne proizvodnje i prerade proizvoda</w:t>
      </w:r>
    </w:p>
    <w:p w:rsidR="00537DE1" w:rsidRPr="00537DE1" w:rsidRDefault="00537DE1" w:rsidP="00537DE1">
      <w:pPr>
        <w:spacing w:before="100" w:beforeAutospacing="1"/>
        <w:textAlignment w:val="baseline"/>
        <w:rPr>
          <w:rFonts w:asciiTheme="minorHAnsi" w:hAnsiTheme="minorHAnsi" w:cstheme="minorHAnsi"/>
        </w:rPr>
      </w:pPr>
      <w:r w:rsidRPr="00537DE1">
        <w:rPr>
          <w:rFonts w:asciiTheme="minorHAnsi" w:hAnsiTheme="minorHAnsi" w:cstheme="minorHAnsi"/>
          <w:bdr w:val="none" w:sz="0" w:space="0" w:color="auto" w:frame="1"/>
        </w:rPr>
        <w:t>Intenzitet potpore i način isplate:  15.000 € </w:t>
      </w:r>
      <w:r w:rsidRPr="00537DE1">
        <w:rPr>
          <w:rFonts w:asciiTheme="minorHAnsi" w:hAnsiTheme="minorHAnsi" w:cstheme="minorHAnsi"/>
        </w:rPr>
        <w:t>po korisniku u kunskoj protuvrijednosti (</w:t>
      </w:r>
      <w:r w:rsidRPr="00537DE1">
        <w:rPr>
          <w:rFonts w:asciiTheme="minorHAnsi" w:hAnsiTheme="minorHAnsi" w:cstheme="minorHAnsi"/>
          <w:bdr w:val="none" w:sz="0" w:space="0" w:color="auto" w:frame="1"/>
        </w:rPr>
        <w:t>100%-</w:t>
      </w:r>
      <w:proofErr w:type="spellStart"/>
      <w:r w:rsidRPr="00537DE1">
        <w:rPr>
          <w:rFonts w:asciiTheme="minorHAnsi" w:hAnsiTheme="minorHAnsi" w:cstheme="minorHAnsi"/>
          <w:bdr w:val="none" w:sz="0" w:space="0" w:color="auto" w:frame="1"/>
        </w:rPr>
        <w:t>tno</w:t>
      </w:r>
      <w:proofErr w:type="spellEnd"/>
      <w:r w:rsidRPr="00537DE1">
        <w:rPr>
          <w:rFonts w:asciiTheme="minorHAnsi" w:hAnsiTheme="minorHAnsi" w:cstheme="minorHAnsi"/>
          <w:bdr w:val="none" w:sz="0" w:space="0" w:color="auto" w:frame="1"/>
        </w:rPr>
        <w:t xml:space="preserve"> financiranje aktivnosti</w:t>
      </w:r>
      <w:r w:rsidRPr="00537DE1">
        <w:rPr>
          <w:rFonts w:asciiTheme="minorHAnsi" w:hAnsiTheme="minorHAnsi" w:cstheme="minorHAnsi"/>
        </w:rPr>
        <w:t>, bez obveze financijskog učešća korisnika).</w:t>
      </w:r>
    </w:p>
    <w:p w:rsidR="00537DE1" w:rsidRPr="00537DE1" w:rsidRDefault="00537DE1" w:rsidP="00537DE1">
      <w:pPr>
        <w:spacing w:before="100" w:beforeAutospacing="1"/>
        <w:textAlignment w:val="baseline"/>
        <w:rPr>
          <w:rFonts w:asciiTheme="minorHAnsi" w:hAnsiTheme="minorHAnsi" w:cstheme="minorHAnsi"/>
        </w:rPr>
      </w:pPr>
      <w:r w:rsidRPr="00537DE1">
        <w:rPr>
          <w:rFonts w:asciiTheme="minorHAnsi" w:hAnsiTheme="minorHAnsi" w:cstheme="minorHAnsi"/>
          <w:bdr w:val="none" w:sz="0" w:space="0" w:color="auto" w:frame="1"/>
        </w:rPr>
        <w:t>U najavi: 15.11.2017. – 15.12.2017.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rPr>
        <w:t>4. </w:t>
      </w:r>
      <w:proofErr w:type="spellStart"/>
      <w:r w:rsidRPr="00537DE1">
        <w:rPr>
          <w:rFonts w:asciiTheme="minorHAnsi" w:hAnsiTheme="minorHAnsi" w:cstheme="minorHAnsi"/>
          <w:b/>
          <w:bCs/>
          <w:u w:val="single"/>
        </w:rPr>
        <w:t>Podmjera</w:t>
      </w:r>
      <w:proofErr w:type="spellEnd"/>
      <w:r w:rsidRPr="00537DE1">
        <w:rPr>
          <w:rFonts w:asciiTheme="minorHAnsi" w:hAnsiTheme="minorHAnsi" w:cstheme="minorHAnsi"/>
          <w:b/>
          <w:bCs/>
          <w:u w:val="single"/>
        </w:rPr>
        <w:t xml:space="preserve"> 6.4.1. - Ulaganje u razvoj nepoljoprivrednih djelatnosti u ruralnim područjima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Prihvatljivi prijavitelji: poljoprivredna </w:t>
      </w:r>
      <w:proofErr w:type="spellStart"/>
      <w:r w:rsidRPr="00537DE1">
        <w:rPr>
          <w:rFonts w:asciiTheme="minorHAnsi" w:hAnsiTheme="minorHAnsi" w:cstheme="minorHAnsi"/>
        </w:rPr>
        <w:t>gosodarstva</w:t>
      </w:r>
      <w:proofErr w:type="spellEnd"/>
      <w:r w:rsidRPr="00537DE1">
        <w:rPr>
          <w:rFonts w:asciiTheme="minorHAnsi" w:hAnsiTheme="minorHAnsi" w:cstheme="minorHAnsi"/>
        </w:rPr>
        <w:t>, fizičke osobe u svojstvu nositelja ili člana obiteljskog poljoprivrednog gospodarstva koji pokreću novu nepoljoprivrednu djelatnost u ruralnim područjima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Prihvatljive aktivnosti: turizam u ruralnom području; tradicijski, umjetnički obrti, izrada suvenira, pružanje usluga u ruralnim područjima, poljoprivredi i šumarstvu prerada, marketing i izravna prodaja lokalnih proizvoda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lastRenderedPageBreak/>
        <w:t>Intenzitet potpore: Do 70% ukupnih prihvatljivih troškova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Indikativni datum objave: 13.12.2017.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rPr>
        <w:t xml:space="preserve">5. </w:t>
      </w:r>
      <w:proofErr w:type="spellStart"/>
      <w:r w:rsidRPr="00537DE1">
        <w:rPr>
          <w:rFonts w:asciiTheme="minorHAnsi" w:hAnsiTheme="minorHAnsi" w:cstheme="minorHAnsi"/>
          <w:b/>
          <w:bCs/>
        </w:rPr>
        <w:t>Podmjera</w:t>
      </w:r>
      <w:proofErr w:type="spellEnd"/>
      <w:r w:rsidRPr="00537DE1">
        <w:rPr>
          <w:rFonts w:asciiTheme="minorHAnsi" w:hAnsiTheme="minorHAnsi" w:cstheme="minorHAnsi"/>
          <w:b/>
          <w:bCs/>
        </w:rPr>
        <w:t xml:space="preserve"> 8.6. - Potpora za ulaganja u šumarske tehnologije, te u preradu, mobilizaciju i marketing šumskih proizvoda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rPr>
        <w:t xml:space="preserve">Tip operacije: 8.6.1. Modernizacija tehnologija, strojeva, alata i opreme u pridobivanju drva i </w:t>
      </w:r>
      <w:proofErr w:type="spellStart"/>
      <w:r w:rsidRPr="00537DE1">
        <w:rPr>
          <w:rFonts w:asciiTheme="minorHAnsi" w:hAnsiTheme="minorHAnsi" w:cstheme="minorHAnsi"/>
          <w:b/>
          <w:bCs/>
          <w:u w:val="single"/>
        </w:rPr>
        <w:t>šumskouzgojnim</w:t>
      </w:r>
      <w:proofErr w:type="spellEnd"/>
      <w:r w:rsidRPr="00537DE1">
        <w:rPr>
          <w:rFonts w:asciiTheme="minorHAnsi" w:hAnsiTheme="minorHAnsi" w:cstheme="minorHAnsi"/>
          <w:b/>
          <w:bCs/>
          <w:u w:val="single"/>
        </w:rPr>
        <w:t xml:space="preserve"> redovima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Prihvatljivi prijavitelji: </w:t>
      </w:r>
      <w:proofErr w:type="spellStart"/>
      <w:r w:rsidRPr="00537DE1">
        <w:rPr>
          <w:rFonts w:asciiTheme="minorHAnsi" w:hAnsiTheme="minorHAnsi" w:cstheme="minorHAnsi"/>
        </w:rPr>
        <w:t>šumoposjednici</w:t>
      </w:r>
      <w:proofErr w:type="spellEnd"/>
      <w:r w:rsidRPr="00537DE1">
        <w:rPr>
          <w:rFonts w:asciiTheme="minorHAnsi" w:hAnsiTheme="minorHAnsi" w:cstheme="minorHAnsi"/>
        </w:rPr>
        <w:t xml:space="preserve">, udruženja </w:t>
      </w:r>
      <w:proofErr w:type="spellStart"/>
      <w:r w:rsidRPr="00537DE1">
        <w:rPr>
          <w:rFonts w:asciiTheme="minorHAnsi" w:hAnsiTheme="minorHAnsi" w:cstheme="minorHAnsi"/>
        </w:rPr>
        <w:t>šumoposjednika</w:t>
      </w:r>
      <w:proofErr w:type="spellEnd"/>
      <w:r w:rsidRPr="00537DE1">
        <w:rPr>
          <w:rFonts w:asciiTheme="minorHAnsi" w:hAnsiTheme="minorHAnsi" w:cstheme="minorHAnsi"/>
        </w:rPr>
        <w:t>, obrti, mikro, mala i srednja poduzeća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Prihvatljivi troškovi: kupnja novih i rabljenih strojeva, alata, uređaja i opreme za sječu, privlačenje, izvoženje i iznošenje drva, proizvodnja šumske biomase, daljinski prijevoz drva, šumsko uzgojni radovi za pripremu šumskog tla za sjetvu ili sadnju, izgradnja objekata i kupnja nove i rabljene opreme za skladištenje, zaštitu i sušenje drvnih proizvoda.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Intenzitet potpore: do 50%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5.000 - 700.000 EUR-a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Indikativni datum objave: 15.12.2017.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b/>
          <w:bCs/>
          <w:u w:val="single"/>
        </w:rPr>
        <w:t>Tip operacije: 8.6.2. Modernizacija tehnologija, strojeva, alata i opreme u predindustrijskog preradi drva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Prihvatljivi prijavitelji: obrti, </w:t>
      </w:r>
      <w:proofErr w:type="spellStart"/>
      <w:r w:rsidRPr="00537DE1">
        <w:rPr>
          <w:rFonts w:asciiTheme="minorHAnsi" w:hAnsiTheme="minorHAnsi" w:cstheme="minorHAnsi"/>
        </w:rPr>
        <w:t>mikrom</w:t>
      </w:r>
      <w:proofErr w:type="spellEnd"/>
      <w:r w:rsidRPr="00537DE1">
        <w:rPr>
          <w:rFonts w:asciiTheme="minorHAnsi" w:hAnsiTheme="minorHAnsi" w:cstheme="minorHAnsi"/>
        </w:rPr>
        <w:t xml:space="preserve"> mala i srednja poduzeća registrirana za djelatnosti prerade drva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Prihvatljive aktivnosti: kupnja novih i rabljenih strojeva, alata, uređaja, opreme za predindustrijsku preradu drva, za proizvodnju </w:t>
      </w:r>
      <w:proofErr w:type="spellStart"/>
      <w:r w:rsidRPr="00537DE1">
        <w:rPr>
          <w:rFonts w:asciiTheme="minorHAnsi" w:hAnsiTheme="minorHAnsi" w:cstheme="minorHAnsi"/>
        </w:rPr>
        <w:t>peleta</w:t>
      </w:r>
      <w:proofErr w:type="spellEnd"/>
      <w:r w:rsidRPr="00537DE1">
        <w:rPr>
          <w:rFonts w:asciiTheme="minorHAnsi" w:hAnsiTheme="minorHAnsi" w:cstheme="minorHAnsi"/>
        </w:rPr>
        <w:t xml:space="preserve"> i briketa, instalacija i/ili kupnja informacijsko-komunikacijskih tehnologija </w:t>
      </w:r>
      <w:proofErr w:type="spellStart"/>
      <w:r w:rsidRPr="00537DE1">
        <w:rPr>
          <w:rFonts w:asciiTheme="minorHAnsi" w:hAnsiTheme="minorHAnsi" w:cstheme="minorHAnsi"/>
        </w:rPr>
        <w:t>upostupcima</w:t>
      </w:r>
      <w:proofErr w:type="spellEnd"/>
      <w:r w:rsidRPr="00537DE1">
        <w:rPr>
          <w:rFonts w:asciiTheme="minorHAnsi" w:hAnsiTheme="minorHAnsi" w:cstheme="minorHAnsi"/>
        </w:rPr>
        <w:t xml:space="preserve"> pridobivanja drva, izgradnja objekata, kupnja nove i rabljene opreme za sušenje, parenje, skladištenje i zaštitu proizvoda od drva i </w:t>
      </w:r>
      <w:proofErr w:type="spellStart"/>
      <w:r w:rsidRPr="00537DE1">
        <w:rPr>
          <w:rFonts w:asciiTheme="minorHAnsi" w:hAnsiTheme="minorHAnsi" w:cstheme="minorHAnsi"/>
        </w:rPr>
        <w:t>sl</w:t>
      </w:r>
      <w:proofErr w:type="spellEnd"/>
      <w:r w:rsidRPr="00537DE1">
        <w:rPr>
          <w:rFonts w:asciiTheme="minorHAnsi" w:hAnsiTheme="minorHAnsi" w:cstheme="minorHAnsi"/>
        </w:rPr>
        <w:t>.</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Intenzitet potpore: do 50% ukupnih prihvatljivih troškova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Iznos potpore: 10.000 - 1.000.000 EUR-a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lastRenderedPageBreak/>
        <w:t>Indikativni datum objave:  15.12.2017.</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Shodno navedenom dostavljamo Vam popis potrebne dokumentacije za izradu projekta za bespovratne potpore.</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 xml:space="preserve">Dokumentaciju koju imate pošaljite nam </w:t>
      </w:r>
      <w:proofErr w:type="spellStart"/>
      <w:r w:rsidRPr="00537DE1">
        <w:rPr>
          <w:rFonts w:asciiTheme="minorHAnsi" w:hAnsiTheme="minorHAnsi" w:cstheme="minorHAnsi"/>
        </w:rPr>
        <w:t>emailom</w:t>
      </w:r>
      <w:proofErr w:type="spellEnd"/>
      <w:r w:rsidRPr="00537DE1">
        <w:rPr>
          <w:rFonts w:asciiTheme="minorHAnsi" w:hAnsiTheme="minorHAnsi" w:cstheme="minorHAnsi"/>
        </w:rPr>
        <w:t xml:space="preserve"> i poštom ili osobno.  Dokumentaciju koju u ovom trenu nemate možete dostaviti u hodu izrade projekta.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Nakon sto nam dostavite podatke i dokumentaciju - projekt izrađujemo unutar 10 dana. Ako nešto od dokumentacije nemate kao tipa financijskih podataka, nije toliko bitno jer na popisu je širok popis dokumentacije kako bismo mi za izradu što lakše ušli u srž i napisali projekt.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Po dobivanju potpore sastavljamo izvješća i pravdamo utrošena bespovratna sredstva. </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Do sada imamo preko 100 odrađenih projekata uz prolaznost od 80%.</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rPr>
        <w:t>Ci</w:t>
      </w:r>
      <w:r>
        <w:rPr>
          <w:rFonts w:asciiTheme="minorHAnsi" w:hAnsiTheme="minorHAnsi" w:cstheme="minorHAnsi"/>
        </w:rPr>
        <w:t>jenom i uslugom smo najpovoljniji</w:t>
      </w:r>
      <w:r w:rsidRPr="00537DE1">
        <w:rPr>
          <w:rFonts w:asciiTheme="minorHAnsi" w:hAnsiTheme="minorHAnsi" w:cstheme="minorHAnsi"/>
        </w:rPr>
        <w:t xml:space="preserve"> na tržištu.</w:t>
      </w:r>
    </w:p>
    <w:p w:rsidR="00537DE1" w:rsidRPr="00537DE1" w:rsidRDefault="00537DE1" w:rsidP="00537DE1">
      <w:pPr>
        <w:spacing w:before="100" w:beforeAutospacing="1"/>
        <w:rPr>
          <w:rFonts w:asciiTheme="minorHAnsi" w:hAnsiTheme="minorHAnsi" w:cstheme="minorHAnsi"/>
        </w:rPr>
      </w:pP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color w:val="FF0000"/>
          <w:u w:val="single"/>
        </w:rPr>
        <w:t>POGODNOST ZA OBRTNIKE NA TEMELJU SPORAZUMA HOK - ZNA</w:t>
      </w:r>
    </w:p>
    <w:p w:rsidR="00537DE1" w:rsidRPr="00537DE1" w:rsidRDefault="00537DE1" w:rsidP="00537DE1">
      <w:pPr>
        <w:spacing w:before="100" w:beforeAutospacing="1"/>
        <w:rPr>
          <w:rFonts w:asciiTheme="minorHAnsi" w:hAnsiTheme="minorHAnsi" w:cstheme="minorHAnsi"/>
        </w:rPr>
      </w:pPr>
      <w:r w:rsidRPr="00537DE1">
        <w:rPr>
          <w:rFonts w:asciiTheme="minorHAnsi" w:hAnsiTheme="minorHAnsi" w:cstheme="minorHAnsi"/>
          <w:color w:val="FF0000"/>
          <w:u w:val="single"/>
        </w:rPr>
        <w:t xml:space="preserve">Komitenti plaćaju samo prvu izradu elaborata, u slučaju </w:t>
      </w:r>
      <w:proofErr w:type="spellStart"/>
      <w:r w:rsidRPr="00537DE1">
        <w:rPr>
          <w:rFonts w:asciiTheme="minorHAnsi" w:hAnsiTheme="minorHAnsi" w:cstheme="minorHAnsi"/>
          <w:color w:val="FF0000"/>
          <w:u w:val="single"/>
        </w:rPr>
        <w:t>neprolaska</w:t>
      </w:r>
      <w:proofErr w:type="spellEnd"/>
      <w:r w:rsidRPr="00537DE1">
        <w:rPr>
          <w:rFonts w:asciiTheme="minorHAnsi" w:hAnsiTheme="minorHAnsi" w:cstheme="minorHAnsi"/>
          <w:color w:val="FF0000"/>
          <w:u w:val="single"/>
        </w:rPr>
        <w:t xml:space="preserve"> prijave jednom raspisan projekt šalje se u formi svih natječaja dok se potpora ne odobri, svaka nova prijava se ne naplaćuje.</w:t>
      </w:r>
    </w:p>
    <w:p w:rsidR="002E0907" w:rsidRDefault="002E0907"/>
    <w:sectPr w:rsidR="002E0907" w:rsidSect="002E0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0AFF" w:usb1="00007843" w:usb2="00000001" w:usb3="00000000" w:csb0="000001B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DE1"/>
    <w:rsid w:val="002E0907"/>
    <w:rsid w:val="00537D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E1"/>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1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iris.ivcevic</dc:creator>
  <cp:lastModifiedBy>iris.ivcevic</cp:lastModifiedBy>
  <cp:revision>1</cp:revision>
  <dcterms:created xsi:type="dcterms:W3CDTF">2017-08-01T12:30:00Z</dcterms:created>
  <dcterms:modified xsi:type="dcterms:W3CDTF">2017-08-01T12:37:00Z</dcterms:modified>
</cp:coreProperties>
</file>